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92" w:rsidRDefault="006C0D92" w:rsidP="006C0D92">
      <w:pPr>
        <w:shd w:val="clear" w:color="auto" w:fill="ECF0F1"/>
        <w:spacing w:after="0" w:line="240" w:lineRule="auto"/>
        <w:outlineLvl w:val="1"/>
        <w:rPr>
          <w:rFonts w:ascii="Arial" w:eastAsia="Times New Roman" w:hAnsi="Arial" w:cs="Arial"/>
          <w:color w:val="252525"/>
          <w:sz w:val="30"/>
          <w:szCs w:val="30"/>
          <w:lang w:eastAsia="ru-RU"/>
        </w:rPr>
      </w:pPr>
    </w:p>
    <w:p w:rsidR="006C0D92" w:rsidRPr="006C0D92" w:rsidRDefault="006C0D92" w:rsidP="006C0D92">
      <w:pPr>
        <w:shd w:val="clear" w:color="auto" w:fill="ECF0F1"/>
        <w:spacing w:after="0" w:line="240" w:lineRule="auto"/>
        <w:outlineLvl w:val="1"/>
        <w:rPr>
          <w:rFonts w:ascii="Arial" w:eastAsia="Times New Roman" w:hAnsi="Arial" w:cs="Arial"/>
          <w:color w:val="252525"/>
          <w:sz w:val="30"/>
          <w:szCs w:val="30"/>
          <w:lang w:eastAsia="ru-RU"/>
        </w:rPr>
      </w:pPr>
      <w:r w:rsidRPr="006C0D92">
        <w:rPr>
          <w:rFonts w:ascii="Arial" w:eastAsia="Times New Roman" w:hAnsi="Arial" w:cs="Arial"/>
          <w:color w:val="252525"/>
          <w:sz w:val="30"/>
          <w:szCs w:val="30"/>
          <w:lang w:eastAsia="ru-RU"/>
        </w:rPr>
        <w:t>С 1 января 2022 года вступили в силу нововведения по НДФЛ</w:t>
      </w:r>
    </w:p>
    <w:p w:rsidR="006C0D92" w:rsidRPr="006C0D92" w:rsidRDefault="006C0D92" w:rsidP="006C0D92">
      <w:pPr>
        <w:spacing w:after="0" w:line="240" w:lineRule="auto"/>
        <w:rPr>
          <w:rFonts w:ascii="Times New Roman" w:eastAsia="Times New Roman" w:hAnsi="Times New Roman" w:cs="Times New Roman"/>
          <w:sz w:val="24"/>
          <w:szCs w:val="24"/>
          <w:lang w:eastAsia="ru-RU"/>
        </w:rPr>
      </w:pPr>
      <w:r w:rsidRPr="006C0D92">
        <w:rPr>
          <w:rFonts w:ascii="Arial" w:eastAsia="Times New Roman" w:hAnsi="Arial" w:cs="Arial"/>
          <w:color w:val="252525"/>
          <w:sz w:val="23"/>
          <w:szCs w:val="23"/>
          <w:lang w:eastAsia="ru-RU"/>
        </w:rPr>
        <w:br/>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С 1 января 2022 года введены изменения в налоговое законодательство, связанные с расчетом НДФЛ при операциях с недвижимостью.</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1. В декларации 3-НДФЛ можно не указывать доходы от продажи недвижимости или другого имущества (за исключением ценных бумаг) до истечения трех или пяти лет владения им. Нововведение касается тех, кто имеет право на имущественные налоговые вычеты в следующих размерах:</w:t>
      </w:r>
    </w:p>
    <w:p w:rsidR="006C0D92" w:rsidRPr="006C0D92" w:rsidRDefault="006C0D92" w:rsidP="00454C35">
      <w:pPr>
        <w:numPr>
          <w:ilvl w:val="0"/>
          <w:numId w:val="1"/>
        </w:numPr>
        <w:shd w:val="clear" w:color="auto" w:fill="ECF0F1"/>
        <w:tabs>
          <w:tab w:val="clear" w:pos="720"/>
          <w:tab w:val="num" w:pos="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1 млн</w:t>
      </w:r>
      <w:r w:rsidR="005F602B">
        <w:rPr>
          <w:rFonts w:ascii="Times New Roman" w:eastAsia="Times New Roman" w:hAnsi="Times New Roman" w:cs="Times New Roman"/>
          <w:color w:val="252525"/>
          <w:sz w:val="28"/>
          <w:szCs w:val="28"/>
          <w:lang w:eastAsia="ru-RU"/>
        </w:rPr>
        <w:t>.</w:t>
      </w:r>
      <w:r w:rsidRPr="006C0D92">
        <w:rPr>
          <w:rFonts w:ascii="Times New Roman" w:eastAsia="Times New Roman" w:hAnsi="Times New Roman" w:cs="Times New Roman"/>
          <w:color w:val="252525"/>
          <w:sz w:val="28"/>
          <w:szCs w:val="28"/>
          <w:lang w:eastAsia="ru-RU"/>
        </w:rPr>
        <w:t xml:space="preserve"> рублей за налоговый период (календарный год) - для жилых домов, квартир, комнат, включая приватизированные жилые помещения, садовые дома или земельные участки (доли в указанном имуществе);</w:t>
      </w:r>
    </w:p>
    <w:p w:rsidR="006C0D92" w:rsidRPr="006C0D92" w:rsidRDefault="006C0D92" w:rsidP="006C0D92">
      <w:pPr>
        <w:numPr>
          <w:ilvl w:val="0"/>
          <w:numId w:val="1"/>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250 тысяч рублей - для иного недвижимого имущества;</w:t>
      </w:r>
    </w:p>
    <w:p w:rsidR="006C0D92" w:rsidRPr="006C0D92" w:rsidRDefault="006C0D92" w:rsidP="00454C35">
      <w:pPr>
        <w:numPr>
          <w:ilvl w:val="0"/>
          <w:numId w:val="1"/>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250 тысяч рублей - для иного имущества (за исключением ценных бумаг).</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Если же доходы от продажи имущества превышают размер вычетов, декларацию 3-НДФЛ представить все равно придется.</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2. При приобретении прав на квартиру, комнату (долю в них) в строящемся доме право на имущественный налоговый вычет возникает с даты передачи объекта долевого строительства застройщиком и принятия его участником долевого строительства по подписанному ими передаточному акту (иному документу о передаче объекта долевого строительства).</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В этом случае налогоплательщик имеет право обратиться за получением вычета после государственной регистрации права собственности на недвижимость. Изменения применяются в отношении объектов долевого строительства (доли в них), переданных застройщиком и принятых участником долевого строительства с 01.01.2022.</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Основанием нововведения является Федеральный закон от 20.04.2021 № 100-ФЗ.</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3. Семьи с детьми теперь освобождаются от уплаты НДФЛ при продаже недвижимости независимо от срока владения этим имуществом. Нововведение касается доходов, полученных от продажи жилья в 2021 году.</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Такой порядок применяется при соблюдении ряда условий:</w:t>
      </w:r>
    </w:p>
    <w:p w:rsidR="006C0D92" w:rsidRPr="006C0D92" w:rsidRDefault="006C0D92" w:rsidP="00454C35">
      <w:pPr>
        <w:numPr>
          <w:ilvl w:val="0"/>
          <w:numId w:val="2"/>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до 30 апреля следующего года налогоплательщик или члены его семьи приобрели в собственность другое жилье, а в случае долевого строительства оплатили полную стоимость жилого помещения по договору;</w:t>
      </w:r>
    </w:p>
    <w:p w:rsidR="006C0D92" w:rsidRPr="006C0D92" w:rsidRDefault="006C0D92" w:rsidP="006C0D92">
      <w:pPr>
        <w:numPr>
          <w:ilvl w:val="0"/>
          <w:numId w:val="2"/>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общая площадь приобретенного жилого помещения превышает по площади или в размере кадастровой стоимости проданное имущество.</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Кроме того:</w:t>
      </w:r>
    </w:p>
    <w:p w:rsidR="006C0D92" w:rsidRPr="006C0D92" w:rsidRDefault="006C0D92" w:rsidP="006C0D92">
      <w:pPr>
        <w:numPr>
          <w:ilvl w:val="0"/>
          <w:numId w:val="3"/>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возраст детей до 18 лет (или до 24 лет, если ребенок учится очно);</w:t>
      </w:r>
    </w:p>
    <w:p w:rsidR="006C0D92" w:rsidRPr="006C0D92" w:rsidRDefault="006C0D92" w:rsidP="00454C35">
      <w:pPr>
        <w:numPr>
          <w:ilvl w:val="0"/>
          <w:numId w:val="3"/>
        </w:numPr>
        <w:shd w:val="clear" w:color="auto" w:fill="ECF0F1"/>
        <w:tabs>
          <w:tab w:val="clear" w:pos="720"/>
          <w:tab w:val="num" w:pos="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кадастровая стоимость проданного жилого помещения не превышает 50 млн рублей;</w:t>
      </w:r>
    </w:p>
    <w:p w:rsidR="006C0D92" w:rsidRPr="006C0D92" w:rsidRDefault="006C0D92" w:rsidP="00454C35">
      <w:pPr>
        <w:numPr>
          <w:ilvl w:val="0"/>
          <w:numId w:val="3"/>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 xml:space="preserve">налогоплательщик или члены его семьи на дату отчуждения проданного жилья не владеют в совокупности более 50% в праве </w:t>
      </w:r>
      <w:r w:rsidRPr="006C0D92">
        <w:rPr>
          <w:rFonts w:ascii="Times New Roman" w:eastAsia="Times New Roman" w:hAnsi="Times New Roman" w:cs="Times New Roman"/>
          <w:color w:val="252525"/>
          <w:sz w:val="28"/>
          <w:szCs w:val="28"/>
          <w:lang w:eastAsia="ru-RU"/>
        </w:rPr>
        <w:lastRenderedPageBreak/>
        <w:t>собственности на иное жилое помещение с общей площадью, превышающей общую площадь купленного взамен старого жилого помещения.</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Нововведение распространяется и на те случаи, если доходы от продажи объекта имущества получает несовершеннолетний ребенок из такой семьи.</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4. Минимальный предельный срок владения объектом недвижимости, приобретенным по договору ДДУ, отсчитывается с момента полной оплаты стоимости объекта по такому договору. Таким образом, не учитывается момент дополнительной оплаты, связанной с увеличением площади такого объекта после ввода дома в эксплуатацию.</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Указанное положение распространяется на доходы физических лиц с налогового периода 2019 года. Данное изменение в законодательство РФ введено Федеральным законом от 02.07.2021 № 305-ФЗ.</w:t>
      </w:r>
    </w:p>
    <w:p w:rsidR="00090C08" w:rsidRDefault="00090C08"/>
    <w:sectPr w:rsidR="00090C08" w:rsidSect="0009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B62CE"/>
    <w:multiLevelType w:val="multilevel"/>
    <w:tmpl w:val="76A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80EBA"/>
    <w:multiLevelType w:val="multilevel"/>
    <w:tmpl w:val="4C1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61F50"/>
    <w:multiLevelType w:val="multilevel"/>
    <w:tmpl w:val="E79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C0D92"/>
    <w:rsid w:val="00090C08"/>
    <w:rsid w:val="00337A5B"/>
    <w:rsid w:val="00454C35"/>
    <w:rsid w:val="00551499"/>
    <w:rsid w:val="005F602B"/>
    <w:rsid w:val="006C0D92"/>
    <w:rsid w:val="00951A2B"/>
    <w:rsid w:val="009E2933"/>
    <w:rsid w:val="00C165E1"/>
    <w:rsid w:val="00D52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C"/>
  </w:style>
  <w:style w:type="paragraph" w:styleId="1">
    <w:name w:val="heading 1"/>
    <w:basedOn w:val="a"/>
    <w:next w:val="a"/>
    <w:link w:val="10"/>
    <w:qFormat/>
    <w:rsid w:val="00D520C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6C0D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0CC"/>
    <w:rPr>
      <w:rFonts w:ascii="Cambria" w:eastAsia="Times New Roman" w:hAnsi="Cambria" w:cs="Times New Roman"/>
      <w:b/>
      <w:bCs/>
      <w:kern w:val="32"/>
      <w:sz w:val="32"/>
      <w:szCs w:val="32"/>
      <w:lang w:eastAsia="ru-RU"/>
    </w:rPr>
  </w:style>
  <w:style w:type="character" w:styleId="a3">
    <w:name w:val="Strong"/>
    <w:basedOn w:val="a0"/>
    <w:uiPriority w:val="22"/>
    <w:qFormat/>
    <w:rsid w:val="00D520CC"/>
    <w:rPr>
      <w:b/>
      <w:bCs/>
    </w:rPr>
  </w:style>
  <w:style w:type="character" w:styleId="a4">
    <w:name w:val="Emphasis"/>
    <w:basedOn w:val="a0"/>
    <w:uiPriority w:val="20"/>
    <w:qFormat/>
    <w:rsid w:val="00D520CC"/>
    <w:rPr>
      <w:i/>
      <w:iCs/>
    </w:rPr>
  </w:style>
  <w:style w:type="paragraph" w:styleId="a5">
    <w:name w:val="No Spacing"/>
    <w:link w:val="a6"/>
    <w:uiPriority w:val="99"/>
    <w:qFormat/>
    <w:rsid w:val="00D520CC"/>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99"/>
    <w:locked/>
    <w:rsid w:val="00D520CC"/>
    <w:rPr>
      <w:rFonts w:ascii="Times New Roman" w:eastAsia="Times New Roman" w:hAnsi="Times New Roman" w:cs="Times New Roman"/>
      <w:sz w:val="20"/>
      <w:szCs w:val="20"/>
      <w:lang w:eastAsia="ru-RU"/>
    </w:rPr>
  </w:style>
  <w:style w:type="paragraph" w:styleId="a7">
    <w:name w:val="List Paragraph"/>
    <w:aliases w:val="ПАРАГРАФ,List Paragraph"/>
    <w:basedOn w:val="a"/>
    <w:link w:val="a8"/>
    <w:uiPriority w:val="34"/>
    <w:qFormat/>
    <w:rsid w:val="00D520CC"/>
    <w:pPr>
      <w:spacing w:after="0" w:line="240" w:lineRule="auto"/>
      <w:ind w:left="720"/>
      <w:contextualSpacing/>
    </w:pPr>
    <w:rPr>
      <w:rFonts w:ascii="Times New Roman" w:eastAsia="Calibri" w:hAnsi="Times New Roman" w:cs="Times New Roman"/>
      <w:sz w:val="28"/>
    </w:rPr>
  </w:style>
  <w:style w:type="character" w:customStyle="1" w:styleId="a8">
    <w:name w:val="Абзац списка Знак"/>
    <w:aliases w:val="ПАРАГРАФ Знак,List Paragraph Знак"/>
    <w:link w:val="a7"/>
    <w:uiPriority w:val="34"/>
    <w:locked/>
    <w:rsid w:val="00D520CC"/>
    <w:rPr>
      <w:rFonts w:ascii="Times New Roman" w:eastAsia="Calibri" w:hAnsi="Times New Roman" w:cs="Times New Roman"/>
      <w:sz w:val="28"/>
    </w:rPr>
  </w:style>
  <w:style w:type="paragraph" w:customStyle="1" w:styleId="TableParagraph">
    <w:name w:val="Table Paragraph"/>
    <w:basedOn w:val="a"/>
    <w:uiPriority w:val="1"/>
    <w:qFormat/>
    <w:rsid w:val="00D520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6C0D92"/>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6C0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C0D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5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0</DocSecurity>
  <Lines>22</Lines>
  <Paragraphs>6</Paragraphs>
  <ScaleCrop>false</ScaleCrop>
  <Company>Reanimator Extreme Edition</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dc:creator>
  <cp:lastModifiedBy>LeroY</cp:lastModifiedBy>
  <cp:revision>2</cp:revision>
  <cp:lastPrinted>2022-04-08T08:24:00Z</cp:lastPrinted>
  <dcterms:created xsi:type="dcterms:W3CDTF">2022-04-12T10:47:00Z</dcterms:created>
  <dcterms:modified xsi:type="dcterms:W3CDTF">2022-04-12T10:47:00Z</dcterms:modified>
</cp:coreProperties>
</file>